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FBF6A"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710EEE31" w14:textId="77777777" w:rsidR="00496AF8" w:rsidRPr="00496AF8" w:rsidRDefault="00496AF8" w:rsidP="002E2177">
      <w:pPr>
        <w:ind w:left="0" w:firstLine="0"/>
        <w:rPr>
          <w:noProof/>
        </w:rPr>
      </w:pPr>
    </w:p>
    <w:p w14:paraId="64D4BFD7"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914D86">
            <w:rPr>
              <w:rStyle w:val="Style1"/>
            </w:rPr>
            <w:t>3154</w:t>
          </w:r>
        </w:sdtContent>
      </w:sdt>
    </w:p>
    <w:p w14:paraId="50D086A0" w14:textId="712BC626"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914D86">
            <w:rPr>
              <w:rStyle w:val="Style1"/>
            </w:rPr>
            <w:t>Informed Coverage</w:t>
          </w:r>
        </w:sdtContent>
      </w:sdt>
    </w:p>
    <w:p w14:paraId="6AC99B1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34EA714" w14:textId="23D2CD83"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6-12-07T00:00:00Z">
            <w:dateFormat w:val="M/d/yyyy"/>
            <w:lid w:val="en-US"/>
            <w:storeMappedDataAs w:val="dateTime"/>
            <w:calendar w:val="gregorian"/>
          </w:date>
        </w:sdtPr>
        <w:sdtEndPr>
          <w:rPr>
            <w:rStyle w:val="DefaultParagraphFont"/>
            <w:noProof/>
            <w:color w:val="auto"/>
            <w:u w:val="none"/>
          </w:rPr>
        </w:sdtEndPr>
        <w:sdtContent>
          <w:r w:rsidR="00A21906">
            <w:rPr>
              <w:rStyle w:val="Style2"/>
            </w:rPr>
            <w:t>12/7/2016</w:t>
          </w:r>
        </w:sdtContent>
      </w:sdt>
    </w:p>
    <w:p w14:paraId="0B6C844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18F9CCED" w14:textId="77777777" w:rsidTr="00176E60">
        <w:trPr>
          <w:jc w:val="center"/>
        </w:trPr>
        <w:tc>
          <w:tcPr>
            <w:tcW w:w="9576" w:type="dxa"/>
          </w:tcPr>
          <w:p w14:paraId="5D1A9138"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F4208DA" w14:textId="77777777" w:rsidR="000F4A7F" w:rsidRDefault="000F4A7F" w:rsidP="00024526">
            <w:pPr>
              <w:pStyle w:val="CommentText"/>
              <w:numPr>
                <w:ilvl w:val="0"/>
                <w:numId w:val="5"/>
              </w:numPr>
              <w:rPr>
                <w:i/>
                <w:sz w:val="22"/>
                <w:szCs w:val="22"/>
              </w:rPr>
            </w:pPr>
            <w:r>
              <w:rPr>
                <w:i/>
                <w:sz w:val="22"/>
                <w:szCs w:val="22"/>
              </w:rPr>
              <w:t xml:space="preserve">Complete 1a.1 and 1a.12 for all measures. </w:t>
            </w:r>
          </w:p>
          <w:p w14:paraId="035A8889"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4334B47B"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7FC9BD0"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10F25F32"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3D3AB278"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0FDD6D01"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3CAB76D0"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42375EE3"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1F251091" w14:textId="77777777" w:rsidTr="00F81FE3">
        <w:trPr>
          <w:jc w:val="center"/>
        </w:trPr>
        <w:tc>
          <w:tcPr>
            <w:tcW w:w="10534" w:type="dxa"/>
          </w:tcPr>
          <w:p w14:paraId="61400C8B"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712E27C7" w14:textId="77777777" w:rsidR="008659ED" w:rsidRPr="003B1CC5" w:rsidRDefault="008659ED" w:rsidP="008659ED">
            <w:pPr>
              <w:ind w:left="90" w:hanging="90"/>
              <w:rPr>
                <w:sz w:val="20"/>
                <w:szCs w:val="20"/>
              </w:rPr>
            </w:pPr>
            <w:bookmarkStart w:id="0" w:name="Note2"/>
            <w:bookmarkEnd w:id="0"/>
          </w:p>
          <w:p w14:paraId="12B90418"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EDEB780"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21329ED7" w14:textId="77777777" w:rsidR="008659ED" w:rsidRPr="0061327A" w:rsidRDefault="008659ED" w:rsidP="0061327A">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supports the relationship of the health outcome to processes or structures of care. </w:t>
            </w:r>
            <w:r w:rsidR="0061327A">
              <w:rPr>
                <w:rFonts w:eastAsia="Calibri" w:cs="Calibri"/>
                <w:sz w:val="20"/>
                <w:szCs w:val="20"/>
              </w:rPr>
              <w:t xml:space="preserve">Applies to </w:t>
            </w:r>
            <w:r w:rsidR="0061327A" w:rsidRPr="0061327A">
              <w:rPr>
                <w:rFonts w:eastAsia="Calibri" w:cs="Calibri"/>
                <w:sz w:val="20"/>
                <w:szCs w:val="20"/>
              </w:rPr>
              <w:t>p</w:t>
            </w:r>
            <w:r w:rsidRPr="0061327A">
              <w:rPr>
                <w:rFonts w:eastAsia="Calibri" w:cs="Calibri"/>
                <w:sz w:val="20"/>
                <w:szCs w:val="20"/>
              </w:rPr>
              <w:t>atient-reported outcomes (PRO), including health-related quality of life/functional status, symptom/symptom burden, experience with care, health-related behavior.</w:t>
            </w:r>
            <w:r w:rsidR="00C41794" w:rsidRPr="0061327A">
              <w:rPr>
                <w:rFonts w:eastAsia="Calibri" w:cs="Calibri"/>
                <w:sz w:val="20"/>
                <w:szCs w:val="20"/>
              </w:rPr>
              <w:t xml:space="preserve"> </w:t>
            </w:r>
          </w:p>
          <w:p w14:paraId="2E0462D1"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794FB50D"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01E1BEB8"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4C5E4A39"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58523B15" w14:textId="77777777" w:rsidR="00CB1E41" w:rsidRPr="003B1CC5" w:rsidRDefault="00CB1E41" w:rsidP="008659ED">
            <w:pPr>
              <w:autoSpaceDE w:val="0"/>
              <w:autoSpaceDN w:val="0"/>
              <w:adjustRightInd w:val="0"/>
              <w:rPr>
                <w:rFonts w:eastAsia="Calibri" w:cs="Calibri"/>
                <w:b/>
                <w:bCs/>
                <w:iCs/>
                <w:sz w:val="18"/>
              </w:rPr>
            </w:pPr>
          </w:p>
          <w:p w14:paraId="65B18552"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66547BD2"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21F09BE"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0BC5B1C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3A425E36"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6BF94112" w14:textId="77777777" w:rsidR="00F81FE3" w:rsidRDefault="00F81FE3" w:rsidP="002E2177">
      <w:pPr>
        <w:ind w:left="0" w:firstLine="0"/>
        <w:rPr>
          <w:b/>
          <w:bCs/>
          <w:color w:val="0000FF"/>
        </w:rPr>
      </w:pPr>
    </w:p>
    <w:p w14:paraId="54424ACC"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0E3C464F"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39620224" w14:textId="77777777" w:rsidR="00496AF8" w:rsidRPr="003B1CC5" w:rsidRDefault="00A21906"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3563B2">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3563B2">
            <w:rPr>
              <w:rStyle w:val="Style2"/>
              <w:rFonts w:cstheme="minorHAnsi"/>
            </w:rPr>
            <w:t>Proportion of months with public insurance coverage of months eligible</w:t>
          </w:r>
        </w:sdtContent>
      </w:sdt>
    </w:p>
    <w:p w14:paraId="7FF8F6D1" w14:textId="77777777" w:rsidR="00236F87" w:rsidRPr="003B1CC5" w:rsidRDefault="00A21906"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0D21A4AB"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EB6E798" w14:textId="77777777" w:rsidR="00496AF8" w:rsidRPr="003B1CC5" w:rsidRDefault="00A21906"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29DFAA41" w14:textId="77777777" w:rsidR="00D73685" w:rsidRDefault="00A21906"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04935902"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23CA4997" w14:textId="77777777" w:rsidR="00496AF8" w:rsidRPr="003B1CC5" w:rsidRDefault="00A21906"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2275F19C" w14:textId="77777777" w:rsidR="00496AF8" w:rsidRPr="003B1CC5" w:rsidRDefault="00A21906"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21C2B9A7" w14:textId="77777777" w:rsidR="00496AF8" w:rsidRPr="003B1CC5" w:rsidRDefault="00496AF8" w:rsidP="002E2177">
      <w:pPr>
        <w:ind w:left="0" w:firstLine="0"/>
        <w:rPr>
          <w:bCs/>
        </w:rPr>
      </w:pPr>
    </w:p>
    <w:p w14:paraId="4658F630" w14:textId="77777777" w:rsidR="002B06BD" w:rsidRPr="00676BD4" w:rsidRDefault="00676BD4" w:rsidP="002B06BD">
      <w:pPr>
        <w:ind w:left="432" w:hanging="432"/>
        <w:rPr>
          <w:iCs/>
        </w:rPr>
      </w:pPr>
      <w:r>
        <w:rPr>
          <w:b/>
          <w:bCs/>
          <w:color w:val="0000FF"/>
        </w:rPr>
        <w:t>1a.</w:t>
      </w:r>
      <w:r w:rsidR="00C41794">
        <w:rPr>
          <w:b/>
          <w:bCs/>
          <w:color w:val="0000FF"/>
        </w:rPr>
        <w:t>12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DE963F5" w14:textId="77777777" w:rsidR="002B06BD" w:rsidRPr="003B1CC5" w:rsidRDefault="002B06BD" w:rsidP="002E2177">
      <w:pPr>
        <w:ind w:left="432" w:hanging="432"/>
        <w:rPr>
          <w:color w:val="0000FF"/>
        </w:rPr>
      </w:pPr>
    </w:p>
    <w:p w14:paraId="5DAC83A5" w14:textId="77777777" w:rsidR="00676BD4" w:rsidRDefault="003563B2" w:rsidP="00A9011D">
      <w:pPr>
        <w:ind w:left="0" w:firstLine="0"/>
        <w:rPr>
          <w:b/>
          <w:color w:val="0000FF"/>
        </w:rPr>
      </w:pPr>
      <w:r>
        <w:rPr>
          <w:color w:val="000000" w:themeColor="text1"/>
        </w:rPr>
        <w:t>The purpose of this measure is to determine the best method to estimate statewide public insurance participation rates in children using an informed approach based on a natural experiment of appendicitis. By states having a better estimate of participation in their Medicaid and CHIP programs, they can work to improve processes of ensuring enrollment of children that are eligible and preventing unintended interruptions in coverage. By doing so, states will be working towards of improving access and quality of care for their children.</w:t>
      </w:r>
    </w:p>
    <w:p w14:paraId="3E434262" w14:textId="77777777" w:rsidR="00676BD4" w:rsidRDefault="00676BD4" w:rsidP="002E2177">
      <w:pPr>
        <w:ind w:left="432" w:hanging="432"/>
        <w:rPr>
          <w:b/>
          <w:color w:val="0000FF"/>
        </w:rPr>
      </w:pPr>
    </w:p>
    <w:p w14:paraId="35568397"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3031777" w14:textId="77777777" w:rsidR="00676BD4" w:rsidRDefault="00676BD4" w:rsidP="002E2177">
      <w:pPr>
        <w:ind w:left="432" w:hanging="432"/>
        <w:rPr>
          <w:b/>
          <w:color w:val="0000FF"/>
        </w:rPr>
      </w:pPr>
    </w:p>
    <w:p w14:paraId="38A80161" w14:textId="77777777"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C41794">
        <w:rPr>
          <w:b/>
        </w:rPr>
        <w:t>-</w:t>
      </w:r>
      <w:r w:rsidR="00C41794" w:rsidRPr="003B1CC5">
        <w:rPr>
          <w:b/>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676BD4">
        <w:rPr>
          <w:b/>
          <w:iCs/>
        </w:rPr>
        <w:t xml:space="preserve">healthcare structure, process (e.g., </w:t>
      </w:r>
      <w:r w:rsidR="00496AF8" w:rsidRPr="003B1CC5">
        <w:rPr>
          <w:b/>
          <w:iCs/>
        </w:rPr>
        <w:t>intervention, or service</w:t>
      </w:r>
      <w:r w:rsidR="00676BD4">
        <w:rPr>
          <w:b/>
          <w:iCs/>
        </w:rPr>
        <w:t>).</w:t>
      </w:r>
      <w:r w:rsidR="00AC1E53">
        <w:rPr>
          <w:b/>
          <w:iCs/>
        </w:rPr>
        <w:t xml:space="preserve"> </w:t>
      </w:r>
    </w:p>
    <w:p w14:paraId="2049B537" w14:textId="77777777" w:rsidR="00D14F0B" w:rsidRDefault="00D14F0B" w:rsidP="002E2177">
      <w:pPr>
        <w:ind w:left="0" w:firstLine="0"/>
        <w:rPr>
          <w:iCs/>
        </w:rPr>
      </w:pPr>
    </w:p>
    <w:p w14:paraId="119D59B8" w14:textId="77777777" w:rsidR="008D0BFE" w:rsidRDefault="008D0BFE" w:rsidP="008D0BFE">
      <w:pPr>
        <w:ind w:left="0" w:firstLine="0"/>
      </w:pPr>
      <w:r>
        <w:rPr>
          <w:i/>
        </w:rPr>
        <w:t>Potential for Quality Improvement</w:t>
      </w:r>
    </w:p>
    <w:p w14:paraId="5C8799F8" w14:textId="77777777" w:rsidR="008D0BFE" w:rsidRDefault="008D0BFE" w:rsidP="008D0BFE">
      <w:pPr>
        <w:ind w:left="0" w:firstLine="0"/>
      </w:pPr>
      <w:r>
        <w:t>We believe there are important policy implications for the Continuity of Insurance- Informed Coverage metric. State programs have an interest in retaining eligible children and preventing inappropriate breaks in coverage, many of which occur during the renewal process (Southern Institute, 2009). Many states have been engaged in efforts that have been shown to maximize continuous enrollment. These include streamlining and simplifying the enrollment and renewal processes for Medicaid and CHIP (Kaiser, 2012; Pati, 2012; Ku, 2013). Simplified enrollment procedures include express lane eligibility, Social Security Administration (SSA) data match to verify citizenship, and electronic forms. Simplified renewal procedures include using pre-populated forms and 12-month continuous eligibility. States where Medicaid and CHIP programs coordinate with each other better facilitate transitions for children without causing them to lose coverage (Kaiser, 2012). Collection of demographic data, data pertaining to reasons for disenrollment, and eligibility decisions will enable policymakers to successfully evaluate retention processes (Southern Institute, 2009). The elimination by CHIPRA of the five-year waiting period previously needed for immigrants to receive public insurance is an opportunity to reduce the generational gap of Latino uninsured children (DeCamp, 2012).</w:t>
      </w:r>
    </w:p>
    <w:p w14:paraId="592AACCA" w14:textId="77777777" w:rsidR="008D0BFE" w:rsidRDefault="008D0BFE" w:rsidP="008D0BFE">
      <w:pPr>
        <w:ind w:left="0" w:firstLine="0"/>
      </w:pPr>
    </w:p>
    <w:p w14:paraId="55339839" w14:textId="77777777" w:rsidR="008D0BFE" w:rsidRDefault="008D0BFE" w:rsidP="008D0BFE">
      <w:pPr>
        <w:ind w:left="0" w:firstLine="0"/>
      </w:pPr>
      <w:r>
        <w:rPr>
          <w:i/>
        </w:rPr>
        <w:lastRenderedPageBreak/>
        <w:t>Prevalence of Issue</w:t>
      </w:r>
    </w:p>
    <w:p w14:paraId="3763B08E" w14:textId="77777777" w:rsidR="008D0BFE" w:rsidRDefault="008D0BFE" w:rsidP="008D0BFE">
      <w:pPr>
        <w:ind w:left="0" w:firstLine="0"/>
      </w:pPr>
      <w:r>
        <w:t xml:space="preserve">Studies have used the Medical Expenditure Panel Survey, the National Health Interview Survey, and the National Survey of Children’s Health to determine the prevalence of uninsurance and unstable coverage among children in the United States. The reported numbers range from 9 to 11.1 million for children with gaps in coverage and 5 to 6 million for those with no insurance in a given survey year (Bethell, 2011; Satchell, 2005). There was a decrease from 10.9% to 10.0% in uninsured children from 2007 to 2010, which is being attributed to children gaining coverage through Medicaid and CHIP as a result of CHIPRA (Kaiser, 2012). </w:t>
      </w:r>
    </w:p>
    <w:p w14:paraId="0BC538E7" w14:textId="77777777" w:rsidR="008D0BFE" w:rsidRDefault="008D0BFE" w:rsidP="008D0BFE">
      <w:pPr>
        <w:ind w:left="0" w:firstLine="0"/>
      </w:pPr>
    </w:p>
    <w:p w14:paraId="2824A74C" w14:textId="77777777" w:rsidR="008D0BFE" w:rsidRDefault="008D0BFE" w:rsidP="008D0BFE">
      <w:pPr>
        <w:ind w:left="0" w:firstLine="0"/>
      </w:pPr>
      <w:r w:rsidRPr="00E02552">
        <w:rPr>
          <w:i/>
        </w:rPr>
        <w:t>Fisca</w:t>
      </w:r>
      <w:r>
        <w:rPr>
          <w:i/>
        </w:rPr>
        <w:t>l Burden of Lack of Insurance and Gaps in Coverage</w:t>
      </w:r>
    </w:p>
    <w:p w14:paraId="2132DCFD" w14:textId="77777777" w:rsidR="008D0BFE" w:rsidRPr="00E02552" w:rsidRDefault="008D0BFE" w:rsidP="008D0BFE">
      <w:pPr>
        <w:ind w:left="0" w:firstLine="0"/>
      </w:pPr>
      <w:r>
        <w:t>For low income families, the financial burden is lower for those with full-year public coverage compared to those with full-year private insurance (Galbraith, 2005). Churning establishes additional administrative costs. Although data on the financial impact of churning is limited, Fairbrother (2005) estimated that in California alone, the cost per beneficiary of re-enrolling in Medi-Cal and a subsequent managed care plan is $180, summing to a total of $140 million dollars per year to re-enroll eligible children who had dropped coverage within a three-year time period. For the financial burden of a community, a 10% disenrollment would increase the costs of health care by $3,460,398 annually, or $2,121 for each disenrolled child as ED visits and hospital stays would increase (Rimsza, 2007). A study of Massachusetts residents that use behavioral health services found that MassHealth closes approximately 34,000 cases per month of which 11,000 are reopened within 90 days at an estimated cost per case for reopening of $200 (Capoccia, 2013).</w:t>
      </w:r>
    </w:p>
    <w:p w14:paraId="3754893D" w14:textId="77777777" w:rsidR="008D0BFE" w:rsidRDefault="008D0BFE" w:rsidP="008D0BFE">
      <w:pPr>
        <w:ind w:left="0" w:firstLine="0"/>
      </w:pPr>
    </w:p>
    <w:p w14:paraId="4121ACE5" w14:textId="77777777" w:rsidR="008D0BFE" w:rsidRDefault="008D0BFE" w:rsidP="008D0BFE">
      <w:pPr>
        <w:ind w:left="0" w:firstLine="0"/>
      </w:pPr>
      <w:r>
        <w:rPr>
          <w:i/>
        </w:rPr>
        <w:t>Child Health Outcomes</w:t>
      </w:r>
    </w:p>
    <w:p w14:paraId="43F2AED3" w14:textId="77777777" w:rsidR="008D0BFE" w:rsidRDefault="008D0BFE" w:rsidP="008D0BFE">
      <w:pPr>
        <w:ind w:left="0" w:firstLine="0"/>
      </w:pPr>
      <w:r>
        <w:t>Continuity of insurance coverage has the potential to impact child and adolescent health in a number of ways. First, continuous coverage without gaps can permit children and adolescents access to a regular source of care and therefore reduce unmet needs (Aiken, 2004; Holl, 2000; Schoen, 2000). A regular source of care allows for treatment of chronic health conditions, provides routine preventive care, and management of acute and urgent problems (Olson, 2005). The likelihood of receiving preventative care is increased when a child has both a usual source of care and is insured (DeVoe, 2012). Second, continuous coverage ensures that children and adolescents can receive continuity of care without gaps. Continuity of care helps maintain information exchange, coordination of management plans, and ongoing relationships between patients and clinicians (Haggerty, 2003). Continuity of care also permits children’s health conditions to be monitored regularly and treatments adjusted to maximize health and prevent exacerbations or worsening of conditions that might lead to hospitalization (Fairbrother, 2004; Weissman, 1992). Third, continuity of coverage may allow time for greater engagement with clinicians in treatment decisions that lead to greater satisfaction with services and better health status (Holl, 2000; Kenney, 2007; Shone, 2005).</w:t>
      </w:r>
    </w:p>
    <w:p w14:paraId="5029A221" w14:textId="77777777" w:rsidR="008D0BFE" w:rsidRPr="00DF7AA6" w:rsidRDefault="008D0BFE" w:rsidP="008D0BFE">
      <w:pPr>
        <w:ind w:left="0" w:firstLine="0"/>
      </w:pPr>
    </w:p>
    <w:p w14:paraId="683D9EC8" w14:textId="77777777" w:rsidR="008D0BFE" w:rsidRDefault="008D0BFE" w:rsidP="008D0BFE">
      <w:pPr>
        <w:ind w:left="0" w:firstLine="0"/>
      </w:pPr>
      <w:r>
        <w:t xml:space="preserve">With continuity and gaps in coverage having been far less studied than uninsurance status at a point in time, there is limited literature relating continuity with child health outcomes. A cross-sectional analysis of the NSCH 2003 to 2004 described children with continuous private coverage as being the least likely to report having poor or fair health and also least likely to describe their asthma severity as ‘minor’ when compared to children with continuous public coverage, those who experienced gaps, or the continuously uninsured (Halterman, 2008). An analysis of the National Health and Nutrition Examination Survey found that being insured increased the likelihood that children with intermittent asthma would receive a diagnosis and subsequent control medication (Coker, 2012). Olson et al. (2005) found that more children with public coverage (4.6%), part-year uninsured (2.6%), and full-year uninsured (2.2%) self-reported to have fair or poor health when compared to children with full year private coverage </w:t>
      </w:r>
      <w:r>
        <w:lastRenderedPageBreak/>
        <w:t>(0.9%). A study looking at children in Georgia found that children who were never/intermittently insured were less likely to view their care as high/moderate quality (Ogbuanu, 2012b).</w:t>
      </w:r>
    </w:p>
    <w:p w14:paraId="1F0153D9" w14:textId="77777777" w:rsidR="008D0BFE" w:rsidRDefault="008D0BFE" w:rsidP="008D0BFE">
      <w:pPr>
        <w:ind w:left="0" w:firstLine="0"/>
      </w:pPr>
    </w:p>
    <w:p w14:paraId="10FA629C" w14:textId="77777777" w:rsidR="008D0BFE" w:rsidRDefault="008D0BFE" w:rsidP="008D0BFE">
      <w:pPr>
        <w:ind w:left="0" w:firstLine="0"/>
      </w:pPr>
      <w:r>
        <w:rPr>
          <w:i/>
        </w:rPr>
        <w:t>Policy Factors</w:t>
      </w:r>
    </w:p>
    <w:p w14:paraId="70A5A5AE" w14:textId="77777777" w:rsidR="008D0BFE" w:rsidRPr="00CE5E98" w:rsidRDefault="008D0BFE" w:rsidP="008D0BFE">
      <w:pPr>
        <w:ind w:left="0" w:firstLine="0"/>
      </w:pPr>
      <w:r>
        <w:t>From a global perspective, policy changes affect insurance coverage patterns and health outcomes of children. As described previously, many states have implemented various strategies for streamlining and simplifying the enrollment and renewal processes for Medicaid and CHIP. In a California-based study examining two cohorts of children before and after a policy change extending the Medicaid eligibility redetermination period from 3 to 12 months, Bindman et al. (2008b) found that more children had continuous Medicaid coverage and a reduction in hospitalization for ambulatory care sensitive conditions post policy change. In another California-based cross-sectional study Millet et al. (2010) demonstrated that individuals in counties with a choice of Medicaid plans were less likely to have continuous enrollment and higher annual ambulatory care sensitive admission rates than individuals in counties with no choice of Medicaid plans. Changes in children’s uninsurance rates from 2007 to 2010 were attributed to policy changes by multiple states (Kaiser, 2012). A 2013 study showed that the seven states which adopted a continuous eligibility policy in 2009 were able to increase average length of child enrollment (Ku, 2013). Generating additional evidence that elucidates the pathway that encompasses policy context, insurance coverage, service delivery, and outcome is critical.</w:t>
      </w:r>
    </w:p>
    <w:p w14:paraId="3A776653" w14:textId="77777777" w:rsidR="008D0BFE" w:rsidRPr="003B1CC5" w:rsidRDefault="008D0BFE" w:rsidP="002E2177">
      <w:pPr>
        <w:ind w:left="0" w:firstLine="0"/>
        <w:rPr>
          <w:iCs/>
        </w:rPr>
      </w:pPr>
    </w:p>
    <w:p w14:paraId="5FB47D66"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Addiss, D. G., N. Shaffer, B. S. Fowler and R. V. Tauxe. 1990. “The Epidemiology of Appendicitis and Appendectomy in the United States.” American Journal of Epidemiology 132 (5): 910-25.</w:t>
      </w:r>
    </w:p>
    <w:p w14:paraId="2A3BA718"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Aiken, K.D., Freed, G.L., Davis, M.M. (2004). When insurance status is not static: insurance transitions of low-income children and implications for health and health care. Ambul Pediatr, 4(3):237-43.</w:t>
      </w:r>
    </w:p>
    <w:p w14:paraId="4D8612EB"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Angier, H., DeVoe, J. E., Tillotson, C., Wallace, L., &amp; Gold, R. (2013). Trends in Health Insurance Status of US Children and their Parents, 1998–2008. Maternal and child health journal, 17(9), 1550-1558.</w:t>
      </w:r>
    </w:p>
    <w:p w14:paraId="2B909AFD"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Banerjee, R., Ziegenfuss, J. Y., &amp; Shah, N. D. (2010). Impact of discontinuity in health insurance on resource utilization. BMC Health Services Research, 10, 195.</w:t>
      </w:r>
    </w:p>
    <w:p w14:paraId="659698AD"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Berdahl, T. A., Friedman, B. S., McCormick, M. C., &amp; Simpson, L. (2013). Annual report on health care for children and youth in the United States: trends in racial/ethnic, income, and insurance disparities over time, 2002–2009.Academic pediatrics, 13(3), 191-203.</w:t>
      </w:r>
    </w:p>
    <w:p w14:paraId="5D6C0A99"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Bethell, C.D., Kogan, M.D., Strickland, B.B., Schor, E.L., Robertson, J., Newacheck, P.W. (2011) A national and state profile of leading health problems and health care quality for US children: Key insurance disparities and across-state variations. Acad Ped, 11:S22-S33.</w:t>
      </w:r>
    </w:p>
    <w:p w14:paraId="14DF830D"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Bindman, A. B., Chattopadhyay, A., &amp; Auerback, G. M. (2008a). Interruptions in Medicaid coverage and risk for hospitalization for ambulatory care-sensitive conditions. Annals of Internal Medicine, 149(12), 854-860.</w:t>
      </w:r>
    </w:p>
    <w:p w14:paraId="5DB339AD"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Bindman, A. B., Chattopadhyay, A., &amp; Auerback, G. M. (2008b). Medicaid re-enrollment policies and children's risk of hospitalizations for ambulatory care sensitive conditions. Medical Care, 46(10), 1049-1054.</w:t>
      </w:r>
    </w:p>
    <w:p w14:paraId="3FB88547" w14:textId="77777777" w:rsidR="008D0BFE" w:rsidRPr="00136459" w:rsidRDefault="008D0BFE" w:rsidP="008D0BFE">
      <w:pPr>
        <w:pStyle w:val="ListParagraph"/>
        <w:numPr>
          <w:ilvl w:val="0"/>
          <w:numId w:val="11"/>
        </w:numPr>
        <w:ind w:left="360"/>
        <w:rPr>
          <w:rFonts w:eastAsia="Times New Roman" w:cs="Times New Roman"/>
        </w:rPr>
      </w:pPr>
      <w:r w:rsidRPr="00136459">
        <w:rPr>
          <w:rFonts w:cs="Times New Roman"/>
        </w:rPr>
        <w:t xml:space="preserve">Byrd, V. L. H. and J. Verdier. 2011. (October). "Collecting, Using, and Reporting Medicaid Encounter Data: A Primer for States. Final Report. October 19, 2011" [accessed on March 27, 2014]. Available at: </w:t>
      </w:r>
      <w:hyperlink r:id="rId18" w:history="1">
        <w:r w:rsidRPr="00136459">
          <w:rPr>
            <w:rStyle w:val="Hyperlink"/>
            <w:rFonts w:cs="Times New Roman"/>
          </w:rPr>
          <w:t>http://www.cms.gov/Research-Statistics-Data-and-Systems/Computer-Data-and-</w:t>
        </w:r>
        <w:r w:rsidRPr="00136459">
          <w:rPr>
            <w:rStyle w:val="Hyperlink"/>
            <w:rFonts w:cs="Times New Roman"/>
          </w:rPr>
          <w:lastRenderedPageBreak/>
          <w:t>Systems/MedicaidDataSourcesGenInfo/downloads/MAX_PDQ_Task_X_EncounterDataPrimerforStates.pdf</w:t>
        </w:r>
      </w:hyperlink>
    </w:p>
    <w:p w14:paraId="24DDD00F"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Callahan &amp; S.T., Cooper, W.O. (2007). Continuity of health insurance coverage among young adults with disabilities. Pediatrics, 119(6): 1175-1180.</w:t>
      </w:r>
    </w:p>
    <w:p w14:paraId="6C838C10"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Capoccia, V., Croze, C., Cohen, M., &amp; O'Brien, J. P. (2013). Sustaining enrollment in health insurance for vulnerable populations: Lessons from Massachusetts. Psychiatric Services, 64(4), 360-365.</w:t>
      </w:r>
    </w:p>
    <w:p w14:paraId="0DA13FFF"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Cassedy, A., Fairbrother, G., &amp; Newacheck, P. W. (2008). The impact of insurance instability on children's access, utilization, and satisfaction with health care. Ambulatory Pediatrics, 8(5), 321-328.</w:t>
      </w:r>
    </w:p>
    <w:p w14:paraId="7E20C89D"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Coburn, A. F., McBride, T. D., &amp; Ziller, E. C. (2002). Patterns of health insurance coverage among rural and urban children. Medical Care Research &amp; Review, 59(3), 272-292.</w:t>
      </w:r>
    </w:p>
    <w:p w14:paraId="4ABD2AF7"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Coker, T. R., Kaplan, R. M., &amp; Chung, P. J. (2012). The association of health insurance and disease impairment with reported asthma prevalence in US children. Health services research, 47(1pt2), 431-445.</w:t>
      </w:r>
    </w:p>
    <w:p w14:paraId="5626305A"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Cummings, J. R., Lavarreda, S. A., Rice, T., &amp; Brown, E. R. (2009). The effects of varying periods of uninsurance on children's access to health care. Pediatrics, 123(3), e411-8.</w:t>
      </w:r>
    </w:p>
    <w:p w14:paraId="1219D8BF"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Daly R. Now entering crisis mode. Medicaid woes have states seeking drastic solutions, as feds struggle to keep program strong for patients. Mod Healthc. 2011;41(9):6-7, 16, 11</w:t>
      </w:r>
    </w:p>
    <w:p w14:paraId="049CC805"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DeCamp, L. R., &amp; Bundy, D. G. (2012). Generational status, health insurance, and public benefit participation among low-income Latino children. Maternal and child health journal, 16(3), 735-743.</w:t>
      </w:r>
    </w:p>
    <w:p w14:paraId="0DB216E0"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DeLone, S.E. &amp; Hess, C.A. (2011). Medicaid and CHIP children's healthcare quality measures: What states use and what they want. Acadamic Ped, 11:S69-S76.</w:t>
      </w:r>
    </w:p>
    <w:p w14:paraId="0424458D"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DeVoe, J. E., Tillotson, C. J., Wallace, L. S., Lesko, S. E., &amp; Pandhi, N. (2012). Is health insurance enough? A usual source of care may be more important to ensure a child receives preventive health counseling. Maternal and child health journal, 16(2), 306-315.</w:t>
      </w:r>
    </w:p>
    <w:p w14:paraId="7E8CF235"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DeVoe, J. E., Graham, A., Krois, L., Smith, J., &amp; Fairbrother, G. L. (2008). "Mind the gap" in children's health insurance coverage: Does the length of a child's coverage gap matter? Ambulatory Pediatrics, 8(2), 129-134.</w:t>
      </w:r>
    </w:p>
    <w:p w14:paraId="0034E01B"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Fairbrother, G. (2005). How much does churning in Medi-Cal cost? Los Angeles, CA: The California Endowment and The Common Wealth Fund.</w:t>
      </w:r>
    </w:p>
    <w:p w14:paraId="0786213C"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Fairbrother, G., Jain, A., Park, H. L., Massoudi, M. S., Haidery, A., &amp; Gray, B. H. (2004). Churning in Medicaid managed care and its effect on accountability. Journal of Health Care for the Poor &amp; Underserved, 15(1), 30-41.</w:t>
      </w:r>
    </w:p>
    <w:p w14:paraId="3FB5C1D5"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Fairbrother G, Madhavan G, Goudie A, et al. Reporting on continuity of coverage for children in Medicaid and CHIP: What states can learn from monitoring continuity and duration of coverage. Acad Pediatr. 2011;11(4):318-325</w:t>
      </w:r>
    </w:p>
    <w:p w14:paraId="3AD9D1BA"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 xml:space="preserve">Federico, S. G., Steiner, J. F., Beaty, B., Crane, L., &amp; Kempe, A. (2007). Disruptions in insurance coverage: Patterns and relationship to health care access, unmet need, and utilization before enrollment in the state children's health insurance program. Pediatrics. 120(4), e1009-16. </w:t>
      </w:r>
    </w:p>
    <w:p w14:paraId="514F9074"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Feudtner C., Christakis D.A., &amp; Connell F.A. (2000). Pediatric Deaths Attributable to Complex Chronic Conditions: A Population-Based Study of Washington State, 1980–1997. Pediatrics. 106(1):205-209.</w:t>
      </w:r>
    </w:p>
    <w:p w14:paraId="7465A1B5"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lastRenderedPageBreak/>
        <w:t xml:space="preserve">Feudtner C., Hays R.M., Haynes G., Geyer J.R., Neff J.M., &amp; Koepsell T.D. (2001). Deaths Attributed to Pediatric Complex Chronic Conditions: National Trends and Implications for Supportive Care Services. Pediatrics. 107(6):e99. </w:t>
      </w:r>
    </w:p>
    <w:p w14:paraId="79F98859"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Flores, G., &amp; Lin, H. (2013). Trends in racial/ethnic disparities in medical and oral health, access to care, and use of services in US children: has anything changed over the years?. Int J Equity Health, 12(10).</w:t>
      </w:r>
    </w:p>
    <w:p w14:paraId="74F0B83D"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Flores, G. &amp; Tomany-Korman, S.C. (2008). Racial and ethnic disparities in medical and dental health, access to care, and use of services in US children. Pediatrics. 121 (2): E286-E298 .</w:t>
      </w:r>
    </w:p>
    <w:p w14:paraId="51D8EA61"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 xml:space="preserve">Fowler F.J., Gallagher P.M., &amp; Homer C.J. (2001). Identifying children with special needs. Seventh Conference on Health Survey Research Methods. Department of Health and Human Services. Maryland. </w:t>
      </w:r>
    </w:p>
    <w:p w14:paraId="09A46C93"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Galbraith, A.A., Wong, S.T., Kim, S.E., Newacheck, P.W. (2005). Out-of-pocket financial burden for low-income families with children: socioeconomic disparities and effects of insurance. Health Services Research, 40(6 Pt 1):1722-36.</w:t>
      </w:r>
    </w:p>
    <w:p w14:paraId="03E5F502"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General Services Administration. CHIP Annual Report Template System (CARTs). Washington, DC: 2011. Available at: http://www.reginfo.gov/public/do/PRAViewIC?ref_nbr=201111-0938-009&amp;icID=200547. Accessed May 6, 2013</w:t>
      </w:r>
    </w:p>
    <w:p w14:paraId="27F50AA5"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Ginde, A. A., Lowe, R. A., &amp; Wiler, J. L. (2012). Health insurance status change and emergency department use among US adults. Archives of internal medicine, 172(8), 642-647.</w:t>
      </w:r>
    </w:p>
    <w:p w14:paraId="7EA62944"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Haggerty, J.L., Reid, R.J., Freeman, G.K., Starfield, B.H., Adair, C.E., McKendry, R. (2003). Continuity of care: a multidisciplinary review. BMJ, 327(7425):1219-21.</w:t>
      </w:r>
    </w:p>
    <w:p w14:paraId="478A00ED"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 xml:space="preserve">Halterman J.S., Montes G., Shone L.P., &amp; Szilagyi P.G. (2008).  The impact of health insurance gaps on access to care among children with asthma in the United States. Ambulatory Pediatrics. 8:43-49. </w:t>
      </w:r>
    </w:p>
    <w:p w14:paraId="14525B3E"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Hauptman, J. S., Dadour, A., Oh, T., Baca, C. B., Vickrey, B. G., Vassar, S., ... &amp; Mathern, G. W. (2013). Time to Pediatric Epilepsy Surgery Is Longer and Developmental Outcomes Lower for Government Compared With Private Insurance. Neurosurgery, 73(1), 152-157.</w:t>
      </w:r>
    </w:p>
    <w:p w14:paraId="36831684"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Holl, J. L., Szilagyi, P. G., Rodewald, L. E., Shone, L. P., Zwanziger, J., Mukamel, D. B., et al. (2000). Evaluation of New York State's Child Health Plus: Access, utilization, quality of health care, and health status. Pediatrics, 105(3 Suppl E), 711-718.</w:t>
      </w:r>
    </w:p>
    <w:p w14:paraId="5E039A3F"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Ireys H.T., Anderson G.F., Shaffer T.J., Neff J.M. (1997). Expenditures for care of children with chronic illnesses enrolled in the Washington State Medicaid program, fiscal year 1993. Pediatrics. 100(2 Pt 1):197-204.</w:t>
      </w:r>
    </w:p>
    <w:p w14:paraId="4B4149FD"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Kaiser Commission on Medicaid and the Uninsured (2012) Secrets to Success: An Analysis of Four States at the Forefront of the Nation’s Gains in Children’s Health Coverage. The Henry J. Kaiser Family Foundation. Washington, DC.</w:t>
      </w:r>
    </w:p>
    <w:p w14:paraId="22C0465B"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Kenney, G. (2007). The impacts of the State Children's Health Insurance Program on children who enroll: findings from ten states. Health Services Research, 42(4):1520-43.</w:t>
      </w:r>
    </w:p>
    <w:p w14:paraId="4557C38F"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Kenney GM, Cook A, Dubay L. Progress enrolling children in Medicaid/CHIP: Who is left and what are the prospects for covering more children? Washington, DC: Urban Institute; December 2009. Available at: http://www.urban.org/research/publication/progress-enrolling-children-medicaidchip-who-left-and-what-are-prospects-covering-more-children-updated-121409. Accessed January 18, 2009</w:t>
      </w:r>
    </w:p>
    <w:p w14:paraId="52F62F1F"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lastRenderedPageBreak/>
        <w:t>Kogan, M. D., Newacheck, P. W., Blumberg, S. J., Ghandour, R. M., Singh, G. K., Strickland, B. B., et al. (2010). Underinsurance among children in the United States. New England Journal of Medicine, 363(9), 841-851.</w:t>
      </w:r>
    </w:p>
    <w:p w14:paraId="497AA0DD"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Kreiger N., Williams D.R., &amp; Moss N.E. (1997). Measuring Social Class in US Public Health Research: Concepts, Methodologies, and Guidelines. Annu. Rev. Public Health. 18:341-78.</w:t>
      </w:r>
    </w:p>
    <w:p w14:paraId="007A07A5" w14:textId="77777777" w:rsidR="008D0BFE" w:rsidRPr="00136459" w:rsidRDefault="008D0BFE" w:rsidP="008D0BFE">
      <w:pPr>
        <w:pStyle w:val="ListParagraph"/>
        <w:numPr>
          <w:ilvl w:val="0"/>
          <w:numId w:val="11"/>
        </w:numPr>
        <w:ind w:left="360"/>
        <w:rPr>
          <w:rFonts w:cs="Times New Roman"/>
        </w:rPr>
      </w:pPr>
      <w:bookmarkStart w:id="5" w:name="_ENREF_32"/>
      <w:r w:rsidRPr="00136459">
        <w:rPr>
          <w:rFonts w:cs="Times New Roman"/>
        </w:rPr>
        <w:t xml:space="preserve">Ku, L., P. MacTaggart, F. Pervez and S. Rosenbaum. 2009. (July). "Improving Medicaid’s Continuity of Coverage and Quality of Care" [accessed on July 26, 2012]. Available at: </w:t>
      </w:r>
      <w:hyperlink r:id="rId19" w:history="1">
        <w:r w:rsidRPr="00136459">
          <w:rPr>
            <w:rStyle w:val="Hyperlink"/>
            <w:rFonts w:cs="Times New Roman"/>
          </w:rPr>
          <w:t>http://www.communityplans.net/Portals/0/ACAP%20Docs/Improving%20Medicaid%20Final%20070209.pdf</w:t>
        </w:r>
      </w:hyperlink>
      <w:r w:rsidRPr="00136459">
        <w:rPr>
          <w:rFonts w:cs="Times New Roman"/>
        </w:rPr>
        <w:t>.</w:t>
      </w:r>
      <w:bookmarkEnd w:id="5"/>
    </w:p>
    <w:p w14:paraId="6483F1BF" w14:textId="77777777" w:rsidR="008D0BFE" w:rsidRDefault="008D0BFE" w:rsidP="008D0BFE">
      <w:pPr>
        <w:pStyle w:val="EndNoteBibliography"/>
        <w:numPr>
          <w:ilvl w:val="0"/>
          <w:numId w:val="11"/>
        </w:numPr>
        <w:ind w:left="360"/>
        <w:contextualSpacing/>
        <w:rPr>
          <w:rFonts w:asciiTheme="minorHAnsi" w:hAnsiTheme="minorHAnsi" w:cs="Times New Roman"/>
          <w:sz w:val="22"/>
          <w:szCs w:val="22"/>
        </w:rPr>
      </w:pPr>
      <w:r w:rsidRPr="001A6D67">
        <w:rPr>
          <w:rFonts w:asciiTheme="minorHAnsi" w:hAnsiTheme="minorHAnsi" w:cs="Times New Roman"/>
          <w:sz w:val="22"/>
          <w:szCs w:val="22"/>
        </w:rPr>
        <w:t>Ku, L., E. Steinmetz and B. K. Bruen. 2013. “Continuous-Eligibility Policies Stabilize Medicaid Coverage for Children and Could Be Extended to Adults with Similar Results.” Health Affairs 32 (9): 1576-82.</w:t>
      </w:r>
    </w:p>
    <w:p w14:paraId="34DE1E0E" w14:textId="77777777" w:rsidR="008D0BFE" w:rsidRPr="001A6D67" w:rsidRDefault="008D0BFE" w:rsidP="008D0BFE">
      <w:pPr>
        <w:pStyle w:val="EndNoteBibliography"/>
        <w:numPr>
          <w:ilvl w:val="0"/>
          <w:numId w:val="11"/>
        </w:numPr>
        <w:ind w:left="360"/>
        <w:contextualSpacing/>
        <w:rPr>
          <w:rFonts w:asciiTheme="minorHAnsi" w:hAnsiTheme="minorHAnsi" w:cs="Times New Roman"/>
          <w:sz w:val="22"/>
          <w:szCs w:val="22"/>
        </w:rPr>
      </w:pPr>
      <w:bookmarkStart w:id="6" w:name="_ENREF_35"/>
      <w:r w:rsidRPr="001A6D67">
        <w:rPr>
          <w:rFonts w:asciiTheme="minorHAnsi" w:hAnsiTheme="minorHAnsi" w:cs="Times New Roman"/>
          <w:sz w:val="22"/>
          <w:szCs w:val="22"/>
        </w:rPr>
        <w:t xml:space="preserve">Levinson, D. R. 2009. (May). "Medicaid Managed Care Encournter Data: Collection and Use" [accessed on March 27, 2014]. Available at: </w:t>
      </w:r>
      <w:hyperlink r:id="rId20" w:history="1">
        <w:r w:rsidRPr="001A6D67">
          <w:rPr>
            <w:rStyle w:val="Hyperlink"/>
            <w:rFonts w:asciiTheme="minorHAnsi" w:hAnsiTheme="minorHAnsi" w:cs="Times New Roman"/>
            <w:sz w:val="22"/>
            <w:szCs w:val="22"/>
          </w:rPr>
          <w:t>http://oig.hhs.gov/oei/reports/oei-07-06-00540.pdf</w:t>
        </w:r>
      </w:hyperlink>
      <w:r w:rsidRPr="001A6D67">
        <w:rPr>
          <w:rFonts w:asciiTheme="minorHAnsi" w:hAnsiTheme="minorHAnsi" w:cs="Times New Roman"/>
          <w:sz w:val="22"/>
          <w:szCs w:val="22"/>
        </w:rPr>
        <w:t>.</w:t>
      </w:r>
      <w:bookmarkEnd w:id="6"/>
    </w:p>
    <w:p w14:paraId="4833D315"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Millett, C., Chattopadhyay, A., &amp; Bindman, A. B. (2010). Unhealthy competition: Consequences of health plan choice in California Medicaid. American Journal of Public Health, 100(11): 2235-2240.</w:t>
      </w:r>
    </w:p>
    <w:p w14:paraId="073597DC"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National Conference of State Legislatures Health Policy Tracking Service. The state Medicaid crisis: Benefits and eligibility on the block. Healthc Financ Manage. 2003;57(5):14, 16</w:t>
      </w:r>
    </w:p>
    <w:p w14:paraId="2E0F947C"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Neuzil K.M., Wright P.F., Mitchel E.F. Jr, Griffin M.R. (2000). The burden of influenza illness in children with asthma and other chronic medical conditions. J Pediatr. 137(6):856-64.</w:t>
      </w:r>
    </w:p>
    <w:p w14:paraId="26C0306A"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Ogbuanu, C., Goodman, D., Kahn, K., Noggle, B., Long, C., Bagchi, S., ... &amp; Castrucci, B. (2012a). Factors associated with parent report of access to care and the quality of care received by children 4 to 17 years of age in Georgia. Maternal and child health journal, 16(1), 129-142.</w:t>
      </w:r>
    </w:p>
    <w:p w14:paraId="360E2468"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Ogbuanu, C., Goodman, D. A., Kahn, K., Long, C., Noggle, B., Bagchi, S., ... &amp; Castrucci, B. (2012b). Timely access to quality health care among Georgia children ages 4 to 17 years. Maternal and child health journal, 16(2), 307-319.</w:t>
      </w:r>
    </w:p>
    <w:p w14:paraId="579771B6"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Okumura, M. J., McPheeters, M. L., &amp; Davis, M. M. (2007). State and national estimates of insurance coverage and health care utilization for adolescents with chronic conditions from the national survey of children's health, 2003. Journal of Adolescent Health, 41(4), 343-349.</w:t>
      </w:r>
    </w:p>
    <w:p w14:paraId="67F23B57"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Olson, L. M., Tang, S. F., &amp; Newacheck, P. W. (2005). Children in the United States with discontinuous health insurance coverage. New England Journal of Medicine, 353(4), 382-391.</w:t>
      </w:r>
    </w:p>
    <w:p w14:paraId="52DB6BD8"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Park, J. H. G., Linakis, J. G., Skipper, B. J., &amp; Scott, S. M. (2012). Factors that Predict Frequency of Emergency Department Utilization in Children With Diabetes-Related Complaints. Pediatric emergency care, 28(7), 614-619.</w:t>
      </w:r>
    </w:p>
    <w:p w14:paraId="46C5253F"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Patrick SW, Choi H, Davis MM. Increase in federal match associated with significant gains in coverage for children through Medicaid and CHIP. Health Aff (Millwood). 2012;31(8):1796-1802</w:t>
      </w:r>
    </w:p>
    <w:p w14:paraId="1432AB52"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Percheski, C., &amp; Bzostek, S. (2013). Health insurance coverage within sibships: Prevalence of mixed coverage and associations with health care utilization. Social Science &amp; Medicine, 90, 1-10.</w:t>
      </w:r>
    </w:p>
    <w:p w14:paraId="76E31C90"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Rimsza, M.E., Butler, R.J., Johnson, W.G. (2007). Impact of Medicaid Disenrollment on Health Care Use and Cost. Pediatrics., 119:pp e1026-e1032.</w:t>
      </w:r>
    </w:p>
    <w:p w14:paraId="01CBADDD"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 xml:space="preserve">Rosenbaum P.R. (2010). Design of Observational Studies. (pp 43-44; 172-175; 188; 197-206). New York, NY: Springer. </w:t>
      </w:r>
    </w:p>
    <w:p w14:paraId="7DD999F9"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lastRenderedPageBreak/>
        <w:t>Sabik, L. M., &amp; Dahman, B. A. (2012). Trends in care for uninsured adults and disparities in care by insurance status. Medical Care Research and Review,69(2), 215-230.</w:t>
      </w:r>
    </w:p>
    <w:p w14:paraId="1FF4E97C"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Satchell, M. &amp; Pati, S. (2005). Insurance gaps among vulnerable children in the United States, 1999-2001. Pediatrics, 116(5):1155-61.</w:t>
      </w:r>
    </w:p>
    <w:p w14:paraId="11AE068D"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Schoen, C. &amp; DesRoches, C. (2000). Uninsured and unstably insured: the importance of continuous insurance coverage. Health Serv Res,35(1 Pt 2):187-206.</w:t>
      </w:r>
    </w:p>
    <w:p w14:paraId="5C3E1428"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Seferian E.G., Lackore K.A., Rahman A.S., Naessens J.M., Williams A.R. (2006). Comparison of chronic illness among children receiving mechanical ventilation in a cohort of children’s hospitals in 1991 and 2001. J. Peds. 149(6):788-792.e2.</w:t>
      </w:r>
    </w:p>
    <w:p w14:paraId="54982091"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Shone, L.P., Dick, A.W., Klein, J.D., Zwanziger, J., Szilagyi, P.G. (2005). Reduction in racial and ethnic disparities after enrollment in the State Children's Health Insurance Program. Pediatrics, 115(6):e697-705.</w:t>
      </w:r>
    </w:p>
    <w:p w14:paraId="6B2632F0"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 xml:space="preserve">The Southern Institute on Children and Families (2009). Medicaid and CHIP retention: A key strategy to reducing the uninsured. Columbia, SC: Southern Institute on Children and Families. </w:t>
      </w:r>
    </w:p>
    <w:p w14:paraId="337D2058"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Tillotson, C. J., Wallace, L. S., Lesko, S. E., &amp; Angier, H. (2012). The effects of health insurance and a usual source of care on a child’s receipt of health care. Journal of Pediatric Health Care, 26(5), e25-e35.</w:t>
      </w:r>
    </w:p>
    <w:p w14:paraId="624E8CE2"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Todd J., Armon C., Griggs A., Poole S., &amp; Berman S. (2006). Increased rates of morbidity, mortality, and charges for hospitalized children with public or no health insurance as compared with children with private insurance in Colorado and the United States. Pediatrics. 118(2):577-585.</w:t>
      </w:r>
    </w:p>
    <w:p w14:paraId="7A7FADCA"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 xml:space="preserve">Valentine J.M., Neff J., Park A.N., Sharp V., Maynard C., Christakis D., Hicks-Thomson J. (2000). Pediatric Hospitalization Patterns for Selected Chronic Health Conditions Using Hospital Abstract Reporting System Data: Methods and Findings. Health Services and Outcomes Research Methodology 1:3-4:335-350. </w:t>
      </w:r>
    </w:p>
    <w:p w14:paraId="0F3B099C"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Weissman, J.S., Gatsonis, C., Epstein, A.M. (1992). Rates of avoidable hospitalization by insurance status in Massachusetts and Maryland. JAMA. 1992,268(17):2388-94.</w:t>
      </w:r>
    </w:p>
    <w:p w14:paraId="66EC5673"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Wellek, S. 2010. Testing Statistical Hypotheses of Equivalence and Noninferiority. Florida: Chapman &amp; Hall/CRC, 2nd Edition.</w:t>
      </w:r>
    </w:p>
    <w:p w14:paraId="13BD5D23" w14:textId="77777777" w:rsidR="008D0BFE" w:rsidRPr="00136459" w:rsidRDefault="008D0BFE" w:rsidP="008D0BFE">
      <w:pPr>
        <w:pStyle w:val="ListParagraph"/>
        <w:numPr>
          <w:ilvl w:val="0"/>
          <w:numId w:val="11"/>
        </w:numPr>
        <w:ind w:left="360"/>
        <w:rPr>
          <w:rFonts w:eastAsia="Times New Roman" w:cs="Times New Roman"/>
        </w:rPr>
      </w:pPr>
      <w:r w:rsidRPr="00136459">
        <w:rPr>
          <w:rFonts w:eastAsia="Times New Roman" w:cs="Times New Roman"/>
        </w:rPr>
        <w:t>Yu, J., Harman, J. S., Hall, A. G., &amp; Duncan, R. P. (2011). Impact of Medicaid/ SCHIP disenrollment on health care utilization and expenditures among children: A longitudinal analysis. Medical Care Research &amp; Review, 68(1), 56-74.</w:t>
      </w:r>
    </w:p>
    <w:p w14:paraId="46B9C3B1" w14:textId="3F0C949A" w:rsidR="00676BD4" w:rsidRPr="008D0BFE" w:rsidRDefault="008D0BFE" w:rsidP="008D0BFE">
      <w:pPr>
        <w:pStyle w:val="ListParagraph"/>
        <w:numPr>
          <w:ilvl w:val="0"/>
          <w:numId w:val="11"/>
        </w:numPr>
        <w:ind w:left="360"/>
      </w:pPr>
      <w:r w:rsidRPr="00136459">
        <w:rPr>
          <w:rFonts w:eastAsia="Times New Roman" w:cs="Times New Roman"/>
        </w:rPr>
        <w:t>Ziller, E. C., Lenardson, J. D., &amp; Coburn, A. F. (2012). Health Care Access and Use Among the Rural Uninsured. Journal of health care for the poor and underserved, 23(3), 1327-1345.</w:t>
      </w:r>
    </w:p>
    <w:p w14:paraId="5F95266E" w14:textId="77777777" w:rsidR="00C41794" w:rsidRPr="003B1CC5" w:rsidRDefault="002B06BD" w:rsidP="00C41794">
      <w:pPr>
        <w:ind w:left="0" w:firstLine="0"/>
        <w:rPr>
          <w:b/>
          <w:iCs/>
        </w:rPr>
      </w:pPr>
      <w:bookmarkStart w:id="7" w:name="Section1a3"/>
      <w:bookmarkEnd w:id="7"/>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77F02E96" w14:textId="77777777" w:rsidR="00496AF8" w:rsidRDefault="00496AF8" w:rsidP="002E2177">
      <w:pPr>
        <w:ind w:left="0" w:firstLine="0"/>
        <w:rPr>
          <w:i/>
          <w:iCs/>
        </w:rPr>
      </w:pPr>
    </w:p>
    <w:p w14:paraId="54382E85"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0A5D923D"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lastRenderedPageBreak/>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42BFF38B"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8EEFCFA"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636BE8B9"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3DCBDC3F" w14:textId="77777777" w:rsidR="00A9011D" w:rsidRDefault="00A9011D" w:rsidP="002E2177">
      <w:pPr>
        <w:ind w:left="0" w:firstLine="0"/>
        <w:rPr>
          <w:i/>
          <w:iCs/>
        </w:rPr>
      </w:pPr>
    </w:p>
    <w:p w14:paraId="50CD2AF6"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00F83139" w14:textId="77777777" w:rsidTr="00F90F82">
        <w:tc>
          <w:tcPr>
            <w:tcW w:w="4068" w:type="dxa"/>
          </w:tcPr>
          <w:p w14:paraId="69F6038B" w14:textId="77777777" w:rsidR="00AB4ECE" w:rsidRPr="00AB4ECE" w:rsidRDefault="00AB4ECE" w:rsidP="002E2177">
            <w:pPr>
              <w:ind w:left="0" w:firstLine="0"/>
              <w:rPr>
                <w:b/>
              </w:rPr>
            </w:pPr>
            <w:r w:rsidRPr="00AB4ECE">
              <w:rPr>
                <w:b/>
              </w:rPr>
              <w:t>Source of Systematic Review:</w:t>
            </w:r>
          </w:p>
          <w:p w14:paraId="1DF2E615" w14:textId="77777777" w:rsidR="00AB4ECE" w:rsidRPr="00AB4ECE" w:rsidRDefault="00AB4ECE" w:rsidP="00AB4ECE">
            <w:pPr>
              <w:pStyle w:val="ListParagraph"/>
              <w:numPr>
                <w:ilvl w:val="0"/>
                <w:numId w:val="9"/>
              </w:numPr>
              <w:rPr>
                <w:b/>
              </w:rPr>
            </w:pPr>
            <w:r w:rsidRPr="00AB4ECE">
              <w:rPr>
                <w:b/>
              </w:rPr>
              <w:t>Title</w:t>
            </w:r>
          </w:p>
          <w:p w14:paraId="0A716D67" w14:textId="77777777" w:rsidR="00AB4ECE" w:rsidRPr="00AB4ECE" w:rsidRDefault="00AB4ECE" w:rsidP="00AB4ECE">
            <w:pPr>
              <w:pStyle w:val="ListParagraph"/>
              <w:numPr>
                <w:ilvl w:val="0"/>
                <w:numId w:val="9"/>
              </w:numPr>
              <w:rPr>
                <w:b/>
              </w:rPr>
            </w:pPr>
            <w:r w:rsidRPr="00AB4ECE">
              <w:rPr>
                <w:b/>
              </w:rPr>
              <w:t>Author</w:t>
            </w:r>
          </w:p>
          <w:p w14:paraId="3C7EBD9E" w14:textId="77777777" w:rsidR="00AB4ECE" w:rsidRPr="00AB4ECE" w:rsidRDefault="00AB4ECE" w:rsidP="00AB4ECE">
            <w:pPr>
              <w:pStyle w:val="ListParagraph"/>
              <w:numPr>
                <w:ilvl w:val="0"/>
                <w:numId w:val="9"/>
              </w:numPr>
              <w:rPr>
                <w:b/>
              </w:rPr>
            </w:pPr>
            <w:r w:rsidRPr="00AB4ECE">
              <w:rPr>
                <w:b/>
              </w:rPr>
              <w:t>Date</w:t>
            </w:r>
          </w:p>
          <w:p w14:paraId="653D2EE3" w14:textId="77777777" w:rsidR="00AB4ECE" w:rsidRPr="00AB4ECE" w:rsidRDefault="00AB4ECE" w:rsidP="00AB4ECE">
            <w:pPr>
              <w:pStyle w:val="ListParagraph"/>
              <w:numPr>
                <w:ilvl w:val="0"/>
                <w:numId w:val="9"/>
              </w:numPr>
              <w:rPr>
                <w:b/>
              </w:rPr>
            </w:pPr>
            <w:r w:rsidRPr="00AB4ECE">
              <w:rPr>
                <w:b/>
              </w:rPr>
              <w:t>Citation, including page number</w:t>
            </w:r>
          </w:p>
          <w:p w14:paraId="773CA828" w14:textId="77777777" w:rsidR="00AB4ECE" w:rsidRPr="00AB4ECE" w:rsidRDefault="00AB4ECE" w:rsidP="00AB4ECE">
            <w:pPr>
              <w:pStyle w:val="ListParagraph"/>
              <w:numPr>
                <w:ilvl w:val="0"/>
                <w:numId w:val="9"/>
              </w:numPr>
              <w:rPr>
                <w:b/>
              </w:rPr>
            </w:pPr>
            <w:r w:rsidRPr="00AB4ECE">
              <w:rPr>
                <w:b/>
              </w:rPr>
              <w:t>URL</w:t>
            </w:r>
          </w:p>
        </w:tc>
        <w:tc>
          <w:tcPr>
            <w:tcW w:w="5130" w:type="dxa"/>
          </w:tcPr>
          <w:p w14:paraId="6D0C03BC" w14:textId="77777777" w:rsidR="00AB4ECE" w:rsidRPr="00AB4ECE" w:rsidRDefault="00AB4ECE" w:rsidP="002E2177">
            <w:pPr>
              <w:ind w:left="0" w:firstLine="0"/>
              <w:rPr>
                <w:b/>
              </w:rPr>
            </w:pPr>
          </w:p>
        </w:tc>
      </w:tr>
      <w:tr w:rsidR="00AB4ECE" w14:paraId="3BCC90FB" w14:textId="77777777" w:rsidTr="00F90F82">
        <w:tc>
          <w:tcPr>
            <w:tcW w:w="4068" w:type="dxa"/>
          </w:tcPr>
          <w:p w14:paraId="4C84F6CD"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23FCFEED" w14:textId="77777777" w:rsidR="00AB4ECE" w:rsidRDefault="00AB4ECE" w:rsidP="002E2177">
            <w:pPr>
              <w:ind w:left="0" w:firstLine="0"/>
            </w:pPr>
          </w:p>
        </w:tc>
      </w:tr>
      <w:tr w:rsidR="00AB4ECE" w14:paraId="7DA4ABFC" w14:textId="77777777" w:rsidTr="00F90F82">
        <w:tc>
          <w:tcPr>
            <w:tcW w:w="4068" w:type="dxa"/>
          </w:tcPr>
          <w:p w14:paraId="31E2C094"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6302CDF9" w14:textId="77777777" w:rsidR="00AB4ECE" w:rsidRDefault="00AB4ECE" w:rsidP="002E2177">
            <w:pPr>
              <w:ind w:left="0" w:firstLine="0"/>
            </w:pPr>
          </w:p>
        </w:tc>
      </w:tr>
      <w:tr w:rsidR="00AB4ECE" w14:paraId="1035E35A" w14:textId="77777777" w:rsidTr="00F90F82">
        <w:tc>
          <w:tcPr>
            <w:tcW w:w="4068" w:type="dxa"/>
          </w:tcPr>
          <w:p w14:paraId="3166DD48" w14:textId="77777777" w:rsidR="00AB4ECE" w:rsidRDefault="00AB4ECE" w:rsidP="00E42FAA">
            <w:pPr>
              <w:ind w:left="0" w:firstLine="0"/>
            </w:pPr>
            <w:r>
              <w:t>Provide all other grades and definitions from the evidence grading system</w:t>
            </w:r>
          </w:p>
        </w:tc>
        <w:tc>
          <w:tcPr>
            <w:tcW w:w="5130" w:type="dxa"/>
          </w:tcPr>
          <w:p w14:paraId="5243DB03" w14:textId="77777777" w:rsidR="00AB4ECE" w:rsidRDefault="00AB4ECE" w:rsidP="002E2177">
            <w:pPr>
              <w:ind w:left="0" w:firstLine="0"/>
            </w:pPr>
          </w:p>
        </w:tc>
      </w:tr>
      <w:tr w:rsidR="00AB4ECE" w14:paraId="6EB97B52" w14:textId="77777777" w:rsidTr="00F90F82">
        <w:tc>
          <w:tcPr>
            <w:tcW w:w="4068" w:type="dxa"/>
          </w:tcPr>
          <w:p w14:paraId="7E5F9E53"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3549E3EB" w14:textId="77777777" w:rsidR="00AB4ECE" w:rsidRDefault="00AB4ECE" w:rsidP="002E2177">
            <w:pPr>
              <w:ind w:left="0" w:firstLine="0"/>
            </w:pPr>
          </w:p>
        </w:tc>
      </w:tr>
      <w:tr w:rsidR="00AB4ECE" w14:paraId="0778F186" w14:textId="77777777" w:rsidTr="00F90F82">
        <w:tc>
          <w:tcPr>
            <w:tcW w:w="4068" w:type="dxa"/>
          </w:tcPr>
          <w:p w14:paraId="5CBCE788" w14:textId="77777777" w:rsidR="00AB4ECE" w:rsidRDefault="00AB4ECE" w:rsidP="00E42FAA">
            <w:pPr>
              <w:ind w:left="0" w:firstLine="0"/>
            </w:pPr>
            <w:r>
              <w:t>Provide all other grades and definitions from the recommendation grading system</w:t>
            </w:r>
          </w:p>
        </w:tc>
        <w:tc>
          <w:tcPr>
            <w:tcW w:w="5130" w:type="dxa"/>
          </w:tcPr>
          <w:p w14:paraId="560B383A" w14:textId="77777777" w:rsidR="00AB4ECE" w:rsidRDefault="00AB4ECE" w:rsidP="002E2177">
            <w:pPr>
              <w:ind w:left="0" w:firstLine="0"/>
            </w:pPr>
          </w:p>
        </w:tc>
      </w:tr>
      <w:tr w:rsidR="00AB4ECE" w14:paraId="182C1978" w14:textId="77777777" w:rsidTr="00F90F82">
        <w:tc>
          <w:tcPr>
            <w:tcW w:w="4068" w:type="dxa"/>
          </w:tcPr>
          <w:p w14:paraId="45D65D19" w14:textId="77777777" w:rsidR="00AB4ECE" w:rsidRDefault="000E5C93" w:rsidP="002E2177">
            <w:pPr>
              <w:ind w:left="0" w:firstLine="0"/>
            </w:pPr>
            <w:r>
              <w:t>Body of evidence:</w:t>
            </w:r>
          </w:p>
          <w:p w14:paraId="4BBE637F" w14:textId="77777777" w:rsidR="000E5C93" w:rsidRDefault="000E5C93" w:rsidP="000E5C93">
            <w:pPr>
              <w:pStyle w:val="ListParagraph"/>
              <w:numPr>
                <w:ilvl w:val="0"/>
                <w:numId w:val="10"/>
              </w:numPr>
            </w:pPr>
            <w:r>
              <w:t>Quantity – how many studies?</w:t>
            </w:r>
          </w:p>
          <w:p w14:paraId="61FBC9B0" w14:textId="77777777" w:rsidR="000E5C93" w:rsidRDefault="000E5C93" w:rsidP="000E5C93">
            <w:pPr>
              <w:pStyle w:val="ListParagraph"/>
              <w:numPr>
                <w:ilvl w:val="0"/>
                <w:numId w:val="10"/>
              </w:numPr>
            </w:pPr>
            <w:r>
              <w:t>Quality – what type of studies?</w:t>
            </w:r>
          </w:p>
        </w:tc>
        <w:tc>
          <w:tcPr>
            <w:tcW w:w="5130" w:type="dxa"/>
          </w:tcPr>
          <w:p w14:paraId="13755AE1" w14:textId="77777777" w:rsidR="00AB4ECE" w:rsidRDefault="00AB4ECE" w:rsidP="002E2177">
            <w:pPr>
              <w:ind w:left="0" w:firstLine="0"/>
            </w:pPr>
          </w:p>
        </w:tc>
      </w:tr>
      <w:tr w:rsidR="00AB4ECE" w14:paraId="494A1B9C" w14:textId="77777777" w:rsidTr="00F90F82">
        <w:tc>
          <w:tcPr>
            <w:tcW w:w="4068" w:type="dxa"/>
          </w:tcPr>
          <w:p w14:paraId="6ED9DF1E" w14:textId="77777777" w:rsidR="00AB4ECE" w:rsidRDefault="000E5C93" w:rsidP="002E2177">
            <w:pPr>
              <w:ind w:left="0" w:firstLine="0"/>
            </w:pPr>
            <w:r>
              <w:t xml:space="preserve">Estimates of benefit and consistency across studies </w:t>
            </w:r>
          </w:p>
        </w:tc>
        <w:tc>
          <w:tcPr>
            <w:tcW w:w="5130" w:type="dxa"/>
          </w:tcPr>
          <w:p w14:paraId="37516986" w14:textId="77777777" w:rsidR="00AB4ECE" w:rsidRDefault="00AB4ECE" w:rsidP="002E2177">
            <w:pPr>
              <w:ind w:left="0" w:firstLine="0"/>
            </w:pPr>
          </w:p>
        </w:tc>
      </w:tr>
      <w:tr w:rsidR="000E5C93" w14:paraId="5AB05B18" w14:textId="77777777" w:rsidTr="00F90F82">
        <w:tc>
          <w:tcPr>
            <w:tcW w:w="4068" w:type="dxa"/>
          </w:tcPr>
          <w:p w14:paraId="3B121906" w14:textId="77777777" w:rsidR="000E5C93" w:rsidRDefault="000E5C93" w:rsidP="002E2177">
            <w:pPr>
              <w:ind w:left="0" w:firstLine="0"/>
            </w:pPr>
            <w:r>
              <w:t>What harms were identified?</w:t>
            </w:r>
          </w:p>
        </w:tc>
        <w:tc>
          <w:tcPr>
            <w:tcW w:w="5130" w:type="dxa"/>
          </w:tcPr>
          <w:p w14:paraId="4056BD7E" w14:textId="77777777" w:rsidR="000E5C93" w:rsidRDefault="000E5C93" w:rsidP="002E2177">
            <w:pPr>
              <w:ind w:left="0" w:firstLine="0"/>
            </w:pPr>
          </w:p>
        </w:tc>
      </w:tr>
      <w:tr w:rsidR="000E5C93" w14:paraId="10C510EB" w14:textId="77777777" w:rsidTr="00F90F82">
        <w:tc>
          <w:tcPr>
            <w:tcW w:w="4068" w:type="dxa"/>
          </w:tcPr>
          <w:p w14:paraId="3AA39D22" w14:textId="77777777" w:rsidR="000E5C93" w:rsidRDefault="000E5C93" w:rsidP="000E5C93">
            <w:pPr>
              <w:ind w:left="0" w:firstLine="0"/>
            </w:pPr>
            <w:r>
              <w:t>Identify any new studies conducted since the SR. Do the new studies change the conclusions from the SR?</w:t>
            </w:r>
          </w:p>
        </w:tc>
        <w:tc>
          <w:tcPr>
            <w:tcW w:w="5130" w:type="dxa"/>
          </w:tcPr>
          <w:p w14:paraId="31CFED08" w14:textId="77777777" w:rsidR="000E5C93" w:rsidRDefault="000E5C93" w:rsidP="002E2177">
            <w:pPr>
              <w:ind w:left="0" w:firstLine="0"/>
            </w:pPr>
          </w:p>
        </w:tc>
      </w:tr>
    </w:tbl>
    <w:p w14:paraId="7326C602" w14:textId="77777777" w:rsidR="007C1887" w:rsidRPr="003B1CC5" w:rsidRDefault="007C1887" w:rsidP="002E2177">
      <w:pPr>
        <w:ind w:left="0" w:firstLine="0"/>
      </w:pPr>
    </w:p>
    <w:p w14:paraId="3187353C" w14:textId="77777777" w:rsidR="0094689F" w:rsidRPr="003B1CC5" w:rsidRDefault="00925F11" w:rsidP="002E2177">
      <w:pPr>
        <w:ind w:left="0" w:firstLine="0"/>
        <w:rPr>
          <w:b/>
          <w:color w:val="0070C0"/>
        </w:rPr>
      </w:pPr>
      <w:r w:rsidRPr="003B1CC5">
        <w:rPr>
          <w:b/>
          <w:iCs/>
          <w:caps/>
        </w:rPr>
        <w:t>________________________</w:t>
      </w:r>
    </w:p>
    <w:p w14:paraId="2B12180A" w14:textId="77777777" w:rsidR="00837121" w:rsidRPr="003B1CC5" w:rsidRDefault="000E5C93" w:rsidP="002E2177">
      <w:pPr>
        <w:ind w:left="0" w:firstLine="0"/>
        <w:rPr>
          <w:b/>
        </w:rPr>
      </w:pPr>
      <w:bookmarkStart w:id="8" w:name="Section1a8"/>
      <w:bookmarkEnd w:id="8"/>
      <w:r>
        <w:rPr>
          <w:b/>
          <w:color w:val="0000FF"/>
        </w:rPr>
        <w:t>1a.4</w:t>
      </w:r>
      <w:r w:rsidR="00837121" w:rsidRPr="003B1CC5">
        <w:rPr>
          <w:b/>
          <w:color w:val="0000FF"/>
        </w:rPr>
        <w:t xml:space="preserve"> </w:t>
      </w:r>
      <w:r w:rsidR="00837121" w:rsidRPr="003B1CC5">
        <w:rPr>
          <w:b/>
        </w:rPr>
        <w:t>OTHER SOURCE OF EVIDENCE</w:t>
      </w:r>
    </w:p>
    <w:p w14:paraId="7030F7EB"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21A3ECBB" w14:textId="77777777" w:rsidR="00837121" w:rsidRPr="003B1CC5" w:rsidRDefault="00837121" w:rsidP="002E2177">
      <w:pPr>
        <w:ind w:left="0" w:firstLine="0"/>
      </w:pPr>
    </w:p>
    <w:p w14:paraId="28BD8D3D" w14:textId="77777777" w:rsidR="000E5C93" w:rsidRDefault="000E5C93" w:rsidP="002E2177">
      <w:pPr>
        <w:ind w:left="0" w:firstLine="0"/>
      </w:pPr>
      <w:r>
        <w:rPr>
          <w:b/>
          <w:color w:val="0000FF"/>
        </w:rPr>
        <w:lastRenderedPageBreak/>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45F05A5D" w14:textId="77777777" w:rsidR="000E5C93" w:rsidRDefault="000E5C93" w:rsidP="002E2177">
      <w:pPr>
        <w:ind w:left="0" w:firstLine="0"/>
        <w:rPr>
          <w:b/>
        </w:rPr>
      </w:pPr>
    </w:p>
    <w:p w14:paraId="30C77E19" w14:textId="77777777" w:rsidR="00837121" w:rsidRPr="003B1CC5" w:rsidRDefault="000E5C93" w:rsidP="002E2177">
      <w:pPr>
        <w:ind w:left="0" w:firstLine="0"/>
      </w:pPr>
      <w:r w:rsidRPr="001A6D67">
        <w:rPr>
          <w:b/>
          <w:color w:val="0000FF"/>
        </w:rPr>
        <w:t>1a.4.2</w:t>
      </w:r>
      <w:r w:rsidRPr="000E5C93">
        <w:rPr>
          <w:b/>
          <w:color w:val="244061" w:themeColor="accent1" w:themeShade="80"/>
        </w:rPr>
        <w:t xml:space="preserve"> </w:t>
      </w:r>
      <w:r w:rsidR="00837121" w:rsidRPr="003B1CC5">
        <w:rPr>
          <w:b/>
        </w:rPr>
        <w:t>What process was used to identify the evidence?</w:t>
      </w:r>
    </w:p>
    <w:p w14:paraId="703D5687" w14:textId="77777777" w:rsidR="00837121" w:rsidRDefault="00070EB4" w:rsidP="002E2177">
      <w:pPr>
        <w:ind w:left="0" w:firstLine="0"/>
      </w:pPr>
      <w:r>
        <w:t xml:space="preserve">A literature review was performed to identify literature related to effects of uninsurance and gaps in coverage, specifically in the U.S. </w:t>
      </w:r>
    </w:p>
    <w:p w14:paraId="7C2D63E3" w14:textId="77777777" w:rsidR="00070EB4" w:rsidRPr="003B1CC5" w:rsidRDefault="00070EB4" w:rsidP="002E2177">
      <w:pPr>
        <w:ind w:left="0" w:firstLine="0"/>
      </w:pPr>
    </w:p>
    <w:p w14:paraId="745DFC90" w14:textId="77777777"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4D188" w14:textId="77777777" w:rsidR="00242BDD" w:rsidRDefault="00242BDD" w:rsidP="007E37A5">
      <w:r>
        <w:separator/>
      </w:r>
    </w:p>
  </w:endnote>
  <w:endnote w:type="continuationSeparator" w:id="0">
    <w:p w14:paraId="4B7947F9" w14:textId="77777777" w:rsidR="00242BDD" w:rsidRDefault="00242BDD"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EB6E3" w14:textId="77777777" w:rsidR="00440687" w:rsidRDefault="00440687">
    <w:pPr>
      <w:pStyle w:val="Footer"/>
    </w:pPr>
    <w:r w:rsidRPr="00395263">
      <w:t xml:space="preserve">Version </w:t>
    </w:r>
    <w:r w:rsidR="004E7215">
      <w:t>7.0</w:t>
    </w:r>
    <w:r w:rsidR="00F63E8D">
      <w:t xml:space="preserve"> </w:t>
    </w:r>
    <w:r w:rsidRPr="00395263">
      <w:t xml:space="preserve"> </w:t>
    </w:r>
    <w:r w:rsidR="00DE1F5D">
      <w:t>8/</w:t>
    </w:r>
    <w:r w:rsidR="004E7215">
      <w:t>1/16</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A21906">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49E7B" w14:textId="77777777" w:rsidR="00242BDD" w:rsidRDefault="00242BDD" w:rsidP="007E37A5">
      <w:r>
        <w:separator/>
      </w:r>
    </w:p>
  </w:footnote>
  <w:footnote w:type="continuationSeparator" w:id="0">
    <w:p w14:paraId="6FC197E6" w14:textId="77777777" w:rsidR="00242BDD" w:rsidRDefault="00242BDD"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D2AFA"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1175637"/>
    <w:multiLevelType w:val="hybridMultilevel"/>
    <w:tmpl w:val="8CDC7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0EB4"/>
    <w:rsid w:val="00073079"/>
    <w:rsid w:val="0007593F"/>
    <w:rsid w:val="00095EC9"/>
    <w:rsid w:val="00096A37"/>
    <w:rsid w:val="000A0810"/>
    <w:rsid w:val="000A74A4"/>
    <w:rsid w:val="000B627F"/>
    <w:rsid w:val="000D649E"/>
    <w:rsid w:val="000D6D06"/>
    <w:rsid w:val="000E5C93"/>
    <w:rsid w:val="000F4A7F"/>
    <w:rsid w:val="00114848"/>
    <w:rsid w:val="00120934"/>
    <w:rsid w:val="00132070"/>
    <w:rsid w:val="00136459"/>
    <w:rsid w:val="00141875"/>
    <w:rsid w:val="0014347E"/>
    <w:rsid w:val="00154438"/>
    <w:rsid w:val="001551F6"/>
    <w:rsid w:val="0015535B"/>
    <w:rsid w:val="00162036"/>
    <w:rsid w:val="001632DD"/>
    <w:rsid w:val="00176E60"/>
    <w:rsid w:val="00194D9A"/>
    <w:rsid w:val="00196DFB"/>
    <w:rsid w:val="001A196B"/>
    <w:rsid w:val="001A6D05"/>
    <w:rsid w:val="001A6D67"/>
    <w:rsid w:val="001B38BF"/>
    <w:rsid w:val="001B772D"/>
    <w:rsid w:val="001D5B5D"/>
    <w:rsid w:val="001E6153"/>
    <w:rsid w:val="00201FF9"/>
    <w:rsid w:val="00205857"/>
    <w:rsid w:val="00217F0F"/>
    <w:rsid w:val="00235ADC"/>
    <w:rsid w:val="00236F87"/>
    <w:rsid w:val="00242BDD"/>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63B2"/>
    <w:rsid w:val="0035760D"/>
    <w:rsid w:val="00363ECC"/>
    <w:rsid w:val="00370A3A"/>
    <w:rsid w:val="0039020B"/>
    <w:rsid w:val="00395263"/>
    <w:rsid w:val="003956E0"/>
    <w:rsid w:val="0039609A"/>
    <w:rsid w:val="00397500"/>
    <w:rsid w:val="003B1CC5"/>
    <w:rsid w:val="003B4C83"/>
    <w:rsid w:val="003B65CE"/>
    <w:rsid w:val="003C46D1"/>
    <w:rsid w:val="003E039E"/>
    <w:rsid w:val="0040230E"/>
    <w:rsid w:val="0041662F"/>
    <w:rsid w:val="00422917"/>
    <w:rsid w:val="00423F96"/>
    <w:rsid w:val="00440687"/>
    <w:rsid w:val="0044131D"/>
    <w:rsid w:val="00441ADA"/>
    <w:rsid w:val="00457E46"/>
    <w:rsid w:val="00496AF8"/>
    <w:rsid w:val="004A575D"/>
    <w:rsid w:val="004B36DC"/>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29F"/>
    <w:rsid w:val="00623420"/>
    <w:rsid w:val="00634768"/>
    <w:rsid w:val="0063596F"/>
    <w:rsid w:val="006709EB"/>
    <w:rsid w:val="00672824"/>
    <w:rsid w:val="00676BD4"/>
    <w:rsid w:val="0068184A"/>
    <w:rsid w:val="006A0249"/>
    <w:rsid w:val="006B5C51"/>
    <w:rsid w:val="006C7F30"/>
    <w:rsid w:val="006D43FF"/>
    <w:rsid w:val="006E6FDD"/>
    <w:rsid w:val="006F2A00"/>
    <w:rsid w:val="006F4B7F"/>
    <w:rsid w:val="006F760B"/>
    <w:rsid w:val="00701CC3"/>
    <w:rsid w:val="00716783"/>
    <w:rsid w:val="00724801"/>
    <w:rsid w:val="00724B2C"/>
    <w:rsid w:val="00734949"/>
    <w:rsid w:val="00736AEC"/>
    <w:rsid w:val="00736E0F"/>
    <w:rsid w:val="007434FA"/>
    <w:rsid w:val="007573F0"/>
    <w:rsid w:val="00765156"/>
    <w:rsid w:val="00767669"/>
    <w:rsid w:val="00773485"/>
    <w:rsid w:val="00776E8F"/>
    <w:rsid w:val="00776F6D"/>
    <w:rsid w:val="007922BC"/>
    <w:rsid w:val="0079775C"/>
    <w:rsid w:val="007C0297"/>
    <w:rsid w:val="007C1887"/>
    <w:rsid w:val="007D4775"/>
    <w:rsid w:val="007D5DC6"/>
    <w:rsid w:val="007E37A5"/>
    <w:rsid w:val="007F49D8"/>
    <w:rsid w:val="007F51C3"/>
    <w:rsid w:val="00805940"/>
    <w:rsid w:val="0081599C"/>
    <w:rsid w:val="00837121"/>
    <w:rsid w:val="008471E5"/>
    <w:rsid w:val="00850C35"/>
    <w:rsid w:val="00851466"/>
    <w:rsid w:val="0085498F"/>
    <w:rsid w:val="00863E43"/>
    <w:rsid w:val="008647C3"/>
    <w:rsid w:val="008659ED"/>
    <w:rsid w:val="00870987"/>
    <w:rsid w:val="0087564A"/>
    <w:rsid w:val="00881160"/>
    <w:rsid w:val="0088371C"/>
    <w:rsid w:val="008A45F3"/>
    <w:rsid w:val="008B51D9"/>
    <w:rsid w:val="008B652E"/>
    <w:rsid w:val="008D0BFE"/>
    <w:rsid w:val="008F1DC6"/>
    <w:rsid w:val="00903E71"/>
    <w:rsid w:val="00905C5B"/>
    <w:rsid w:val="00914D86"/>
    <w:rsid w:val="00923295"/>
    <w:rsid w:val="00925F11"/>
    <w:rsid w:val="00935265"/>
    <w:rsid w:val="0094689F"/>
    <w:rsid w:val="009477D6"/>
    <w:rsid w:val="009509E3"/>
    <w:rsid w:val="00953ED3"/>
    <w:rsid w:val="00965FF6"/>
    <w:rsid w:val="009846D6"/>
    <w:rsid w:val="0098657F"/>
    <w:rsid w:val="009A3236"/>
    <w:rsid w:val="009B5A93"/>
    <w:rsid w:val="009B5BEA"/>
    <w:rsid w:val="009C291F"/>
    <w:rsid w:val="009E37BD"/>
    <w:rsid w:val="009E6B86"/>
    <w:rsid w:val="00A0048B"/>
    <w:rsid w:val="00A03301"/>
    <w:rsid w:val="00A12762"/>
    <w:rsid w:val="00A13867"/>
    <w:rsid w:val="00A21906"/>
    <w:rsid w:val="00A26FED"/>
    <w:rsid w:val="00A31EDC"/>
    <w:rsid w:val="00A421D4"/>
    <w:rsid w:val="00A44FF0"/>
    <w:rsid w:val="00A50AD2"/>
    <w:rsid w:val="00A50E55"/>
    <w:rsid w:val="00A67EB1"/>
    <w:rsid w:val="00A9011D"/>
    <w:rsid w:val="00A90ABA"/>
    <w:rsid w:val="00A91A47"/>
    <w:rsid w:val="00A95D2B"/>
    <w:rsid w:val="00AA5587"/>
    <w:rsid w:val="00AB4ECE"/>
    <w:rsid w:val="00AC1E53"/>
    <w:rsid w:val="00AD79C8"/>
    <w:rsid w:val="00AE6116"/>
    <w:rsid w:val="00AE6CE0"/>
    <w:rsid w:val="00B058A6"/>
    <w:rsid w:val="00B117D0"/>
    <w:rsid w:val="00B13998"/>
    <w:rsid w:val="00B439DD"/>
    <w:rsid w:val="00B52E0F"/>
    <w:rsid w:val="00B74629"/>
    <w:rsid w:val="00B91F58"/>
    <w:rsid w:val="00B92D29"/>
    <w:rsid w:val="00B93598"/>
    <w:rsid w:val="00BA579E"/>
    <w:rsid w:val="00BC5B39"/>
    <w:rsid w:val="00BE2295"/>
    <w:rsid w:val="00BE6373"/>
    <w:rsid w:val="00BE703F"/>
    <w:rsid w:val="00BF533A"/>
    <w:rsid w:val="00C41794"/>
    <w:rsid w:val="00C46677"/>
    <w:rsid w:val="00C5180E"/>
    <w:rsid w:val="00C54E40"/>
    <w:rsid w:val="00C55F56"/>
    <w:rsid w:val="00C57BA4"/>
    <w:rsid w:val="00C613EB"/>
    <w:rsid w:val="00C71C1A"/>
    <w:rsid w:val="00C84623"/>
    <w:rsid w:val="00CB06C9"/>
    <w:rsid w:val="00CB1E41"/>
    <w:rsid w:val="00CB271C"/>
    <w:rsid w:val="00CE4F96"/>
    <w:rsid w:val="00CE5E98"/>
    <w:rsid w:val="00CF0AB1"/>
    <w:rsid w:val="00CF4B9B"/>
    <w:rsid w:val="00CF55E6"/>
    <w:rsid w:val="00CF772F"/>
    <w:rsid w:val="00D02AC8"/>
    <w:rsid w:val="00D048DB"/>
    <w:rsid w:val="00D14F0B"/>
    <w:rsid w:val="00D178CA"/>
    <w:rsid w:val="00D3311C"/>
    <w:rsid w:val="00D53405"/>
    <w:rsid w:val="00D5457B"/>
    <w:rsid w:val="00D72995"/>
    <w:rsid w:val="00D73685"/>
    <w:rsid w:val="00DA7FA2"/>
    <w:rsid w:val="00DC2D8D"/>
    <w:rsid w:val="00DE1F5D"/>
    <w:rsid w:val="00DE50D8"/>
    <w:rsid w:val="00DF278A"/>
    <w:rsid w:val="00DF7AA6"/>
    <w:rsid w:val="00E02552"/>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EF68B1"/>
    <w:rsid w:val="00F04BE6"/>
    <w:rsid w:val="00F1092D"/>
    <w:rsid w:val="00F42C20"/>
    <w:rsid w:val="00F431D8"/>
    <w:rsid w:val="00F56F51"/>
    <w:rsid w:val="00F63E8D"/>
    <w:rsid w:val="00F67706"/>
    <w:rsid w:val="00F81FE3"/>
    <w:rsid w:val="00F90F82"/>
    <w:rsid w:val="00F92D75"/>
    <w:rsid w:val="00F97327"/>
    <w:rsid w:val="00FA296F"/>
    <w:rsid w:val="00FA7323"/>
    <w:rsid w:val="00FC32D3"/>
    <w:rsid w:val="00FD4D82"/>
    <w:rsid w:val="00FE05DD"/>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16CE0B"/>
  <w15:docId w15:val="{78CCEF21-90FB-424E-B56C-89BEB9EEF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EndNoteBibliography">
    <w:name w:val="EndNote Bibliography"/>
    <w:basedOn w:val="Normal"/>
    <w:link w:val="EndNoteBibliographyChar"/>
    <w:rsid w:val="001A6D67"/>
    <w:pPr>
      <w:ind w:left="0" w:firstLine="0"/>
    </w:pPr>
    <w:rPr>
      <w:rFonts w:ascii="Cambria" w:hAnsi="Cambria"/>
      <w:noProof/>
      <w:sz w:val="24"/>
      <w:szCs w:val="24"/>
    </w:rPr>
  </w:style>
  <w:style w:type="character" w:customStyle="1" w:styleId="EndNoteBibliographyChar">
    <w:name w:val="EndNote Bibliography Char"/>
    <w:basedOn w:val="DefaultParagraphFont"/>
    <w:link w:val="EndNoteBibliography"/>
    <w:rsid w:val="001A6D67"/>
    <w:rPr>
      <w:rFonts w:ascii="Cambria" w:hAnsi="Cambria"/>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yperlink" Target="http://www.cms.gov/Research-Statistics-Data-and-Systems/Computer-Data-and-Systems/MedicaidDataSourcesGenInfo/downloads/MAX_PDQ_Task_X_EncounterDataPrimerforStates.pdf"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hyperlink" Target="http://oig.hhs.gov/oei/reports/oei-07-06-00540.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gradeworkinggroup.org/publications/index.ht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communityplans.net/Portals/0/ACAP%20Docs/Improving%20Medicaid%20Final%20070209.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CA324A"/>
    <w:rsid w:val="00D228C9"/>
    <w:rsid w:val="00D2552B"/>
    <w:rsid w:val="00D75B64"/>
    <w:rsid w:val="00DB5324"/>
    <w:rsid w:val="00E97654"/>
    <w:rsid w:val="00EA555A"/>
    <w:rsid w:val="00F87EB9"/>
    <w:rsid w:val="00F93A64"/>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openxmlformats.org/package/2006/metadata/core-properties"/>
    <ds:schemaRef ds:uri="http://purl.org/dc/dcmitype/"/>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836b82f1-340d-495e-85b5-201c5296619a"/>
    <ds:schemaRef ds:uri="http://schemas.microsoft.com/office/2006/metadata/properties"/>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7036B423-92AD-4311-8B16-428159D2D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5.xml><?xml version="1.0" encoding="utf-8"?>
<ds:datastoreItem xmlns:ds="http://schemas.openxmlformats.org/officeDocument/2006/customXml" ds:itemID="{B0AC8558-37FD-427A-B18F-C91FD1C9C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4607</Words>
  <Characters>26263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Calhoun, Shawna</cp:lastModifiedBy>
  <cp:revision>2</cp:revision>
  <cp:lastPrinted>2016-12-07T19:05:00Z</cp:lastPrinted>
  <dcterms:created xsi:type="dcterms:W3CDTF">2016-12-07T19:06:00Z</dcterms:created>
  <dcterms:modified xsi:type="dcterms:W3CDTF">2016-12-07T19:06:00Z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